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8066" w14:textId="7AF814F7" w:rsidR="00897FEB" w:rsidRPr="00897FEB" w:rsidRDefault="00897FEB" w:rsidP="00897FEB">
      <w:pPr>
        <w:shd w:val="clear" w:color="auto" w:fill="FFFFFF"/>
        <w:spacing w:before="240" w:after="0" w:line="240" w:lineRule="auto"/>
        <w:outlineLvl w:val="2"/>
        <w:rPr>
          <w:rFonts w:ascii="Arial" w:eastAsia="Times New Roman" w:hAnsi="Arial" w:cs="Arial"/>
          <w:b/>
          <w:bCs/>
          <w:color w:val="2F61A6"/>
          <w:sz w:val="27"/>
          <w:szCs w:val="27"/>
        </w:rPr>
      </w:pPr>
      <w:r w:rsidRPr="00897FEB">
        <w:rPr>
          <w:rFonts w:ascii="Arial" w:eastAsia="Times New Roman" w:hAnsi="Arial" w:cs="Arial"/>
          <w:b/>
          <w:bCs/>
          <w:color w:val="2F61A6"/>
          <w:sz w:val="27"/>
          <w:szCs w:val="27"/>
        </w:rPr>
        <w:t>Presentation</w:t>
      </w:r>
    </w:p>
    <w:p w14:paraId="29594ED3" w14:textId="1C05A784" w:rsidR="008C78D9" w:rsidRPr="00897FEB" w:rsidRDefault="00897F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97FEB">
        <w:rPr>
          <w:rFonts w:ascii="Arial" w:hAnsi="Arial" w:cs="Arial"/>
          <w:color w:val="000000"/>
          <w:sz w:val="23"/>
          <w:szCs w:val="23"/>
          <w:shd w:val="clear" w:color="auto" w:fill="FFFFFF"/>
        </w:rPr>
        <w:t>FizyCal-</w:t>
      </w:r>
      <w:r w:rsidRPr="00897FEB">
        <w:rPr>
          <w:rFonts w:ascii="Arial" w:hAnsi="Arial" w:cs="Arial"/>
          <w:color w:val="000000"/>
          <w:sz w:val="23"/>
          <w:szCs w:val="23"/>
          <w:shd w:val="clear" w:color="auto" w:fill="FFFFFF"/>
        </w:rPr>
        <w:t>M</w:t>
      </w:r>
      <w:r w:rsidRPr="00897FEB">
        <w:rPr>
          <w:rFonts w:ascii="Arial" w:hAnsi="Arial" w:cs="Arial"/>
          <w:color w:val="000000"/>
          <w:sz w:val="23"/>
          <w:szCs w:val="23"/>
          <w:shd w:val="clear" w:color="auto" w:fill="FFFFFF"/>
        </w:rPr>
        <w:t>: Each effervescent tablet contains Calcium Lactate Gluconate 1358 mg and Calcium Carbonate BP 1050 mg equivalent to 600 mg of elemental Calcium and Vitamin D3 400 IU as Cholecalciferol USP</w:t>
      </w:r>
      <w:r w:rsidRPr="00897FE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 w:rsidRPr="00897FEB">
        <w:rPr>
          <w:rFonts w:ascii="Arial" w:hAnsi="Arial" w:cs="Arial"/>
          <w:color w:val="000000"/>
          <w:sz w:val="23"/>
          <w:szCs w:val="23"/>
          <w:shd w:val="clear" w:color="auto" w:fill="FFFFFF"/>
        </w:rPr>
        <w:t>Multimineral</w:t>
      </w:r>
      <w:r w:rsidR="005F3727">
        <w:rPr>
          <w:rFonts w:ascii="Arial" w:hAnsi="Arial" w:cs="Arial"/>
          <w:color w:val="000000"/>
          <w:sz w:val="23"/>
          <w:szCs w:val="23"/>
          <w:shd w:val="clear" w:color="auto" w:fill="FFFFFF"/>
        </w:rPr>
        <w:t>s</w:t>
      </w:r>
      <w:proofErr w:type="spellEnd"/>
    </w:p>
    <w:p w14:paraId="6D730091" w14:textId="77777777" w:rsidR="00897FEB" w:rsidRP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Arial" w:hAnsi="Arial" w:cs="Arial"/>
          <w:color w:val="2F61A6"/>
        </w:rPr>
      </w:pPr>
      <w:r w:rsidRPr="00897FEB">
        <w:rPr>
          <w:rFonts w:ascii="Arial" w:hAnsi="Arial" w:cs="Arial"/>
          <w:color w:val="2F61A6"/>
        </w:rPr>
        <w:t>Description</w:t>
      </w:r>
    </w:p>
    <w:p w14:paraId="6FE9B94D" w14:textId="69D35AFB" w:rsidR="00897FEB" w:rsidRDefault="00897FEB" w:rsidP="00897F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897FEB">
        <w:rPr>
          <w:rFonts w:ascii="Arial" w:hAnsi="Arial" w:cs="Arial"/>
          <w:color w:val="000000"/>
          <w:sz w:val="23"/>
          <w:szCs w:val="23"/>
        </w:rPr>
        <w:t>Adequate Calcium in the blood is so vital to a wide variety of bodily functions that our internal biochemistry will not tolerate a deficiency even for short periods. Clinical evidence suggests that</w:t>
      </w:r>
      <w:r w:rsidRPr="00897FEB">
        <w:rPr>
          <w:rFonts w:ascii="Arial" w:hAnsi="Arial" w:cs="Arial"/>
          <w:color w:val="000000"/>
          <w:sz w:val="23"/>
          <w:szCs w:val="23"/>
        </w:rPr>
        <w:br/>
      </w:r>
      <w:r w:rsidRPr="00897FEB">
        <w:rPr>
          <w:rFonts w:ascii="Arial" w:hAnsi="Arial" w:cs="Arial"/>
          <w:color w:val="000000"/>
          <w:sz w:val="23"/>
          <w:szCs w:val="23"/>
        </w:rPr>
        <w:br/>
        <w:t xml:space="preserve">Calcium is useful for the prevention and treatment of </w:t>
      </w:r>
      <w:r>
        <w:rPr>
          <w:rFonts w:ascii="Arial" w:hAnsi="Arial" w:cs="Arial"/>
          <w:color w:val="000000"/>
          <w:sz w:val="23"/>
          <w:szCs w:val="23"/>
        </w:rPr>
        <w:t>osteoporosis</w:t>
      </w:r>
      <w:r w:rsidRPr="00897FEB">
        <w:rPr>
          <w:rFonts w:ascii="Arial" w:hAnsi="Arial" w:cs="Arial"/>
          <w:color w:val="000000"/>
          <w:sz w:val="23"/>
          <w:szCs w:val="23"/>
        </w:rPr>
        <w:t xml:space="preserve"> and associated fractures. Vitamin D is also essential for healthy bones as it aids in Calcium absorption from the GI tract. In addition to this</w:t>
      </w:r>
      <w:r w:rsidRPr="00897FEB">
        <w:rPr>
          <w:rFonts w:ascii="Arial" w:hAnsi="Arial" w:cs="Arial"/>
          <w:color w:val="000000"/>
          <w:sz w:val="23"/>
          <w:szCs w:val="23"/>
        </w:rPr>
        <w:t>,</w:t>
      </w:r>
      <w:r w:rsidRPr="00897FEB">
        <w:rPr>
          <w:rFonts w:ascii="Arial" w:hAnsi="Arial" w:cs="Arial"/>
          <w:color w:val="000000"/>
          <w:sz w:val="23"/>
          <w:szCs w:val="23"/>
        </w:rPr>
        <w:t xml:space="preserve"> it stimulates bone formation. Clinical studies also show that Calcium and Vitamin D </w:t>
      </w:r>
      <w:r w:rsidRPr="00897FEB">
        <w:rPr>
          <w:rFonts w:ascii="Arial" w:hAnsi="Arial" w:cs="Arial"/>
          <w:color w:val="000000"/>
          <w:sz w:val="23"/>
          <w:szCs w:val="23"/>
        </w:rPr>
        <w:t>have</w:t>
      </w:r>
      <w:r w:rsidRPr="00897FEB">
        <w:rPr>
          <w:rFonts w:ascii="Arial" w:hAnsi="Arial" w:cs="Arial"/>
          <w:color w:val="000000"/>
          <w:sz w:val="23"/>
          <w:szCs w:val="23"/>
        </w:rPr>
        <w:t xml:space="preserve"> synergistic effects on bone growth as well as in Osteoporosis and fracture prevention.</w:t>
      </w:r>
    </w:p>
    <w:p w14:paraId="6713F299" w14:textId="77777777" w:rsid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t>Indications</w:t>
      </w:r>
    </w:p>
    <w:p w14:paraId="29B7605A" w14:textId="77777777" w:rsidR="005F3727" w:rsidRDefault="00897FEB" w:rsidP="005F3727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2F61A6"/>
        </w:rPr>
      </w:pPr>
      <w:r>
        <w:rPr>
          <w:rFonts w:ascii="Lato" w:hAnsi="Lato"/>
          <w:color w:val="000000"/>
          <w:sz w:val="23"/>
          <w:szCs w:val="23"/>
        </w:rPr>
        <w:t>- In the treatment and prevention of Calcium and Vitamin-D deficiency</w:t>
      </w:r>
      <w:r>
        <w:rPr>
          <w:rFonts w:ascii="Lato" w:hAnsi="Lato"/>
          <w:color w:val="000000"/>
          <w:sz w:val="23"/>
          <w:szCs w:val="23"/>
        </w:rPr>
        <w:br/>
      </w:r>
      <w:r>
        <w:rPr>
          <w:rFonts w:ascii="Lato" w:hAnsi="Lato"/>
          <w:color w:val="000000"/>
          <w:sz w:val="23"/>
          <w:szCs w:val="23"/>
        </w:rPr>
        <w:br/>
        <w:t>- In the treatment and prevention of osteoporosis as an adjunct to other specific therapy</w:t>
      </w:r>
      <w:r>
        <w:rPr>
          <w:rFonts w:ascii="Lato" w:hAnsi="Lato"/>
          <w:color w:val="000000"/>
          <w:sz w:val="23"/>
          <w:szCs w:val="23"/>
        </w:rPr>
        <w:br/>
      </w:r>
    </w:p>
    <w:p w14:paraId="7E5ADDFF" w14:textId="60EAC5E9" w:rsidR="00897FEB" w:rsidRPr="005F3727" w:rsidRDefault="00897FEB" w:rsidP="005F3727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  <w:sz w:val="23"/>
          <w:szCs w:val="23"/>
        </w:rPr>
      </w:pPr>
      <w:r>
        <w:rPr>
          <w:rFonts w:ascii="inherit" w:hAnsi="inherit"/>
          <w:color w:val="2F61A6"/>
        </w:rPr>
        <w:t>Dosage &amp; Administration</w:t>
      </w:r>
    </w:p>
    <w:p w14:paraId="7F037739" w14:textId="12610378" w:rsidR="00897FEB" w:rsidRDefault="00897FEB" w:rsidP="00897FE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 xml:space="preserve">Adolescents and </w:t>
      </w:r>
      <w:r w:rsidR="005F3727">
        <w:rPr>
          <w:rFonts w:ascii="Lato" w:hAnsi="Lato"/>
          <w:color w:val="000000"/>
          <w:sz w:val="23"/>
          <w:szCs w:val="23"/>
        </w:rPr>
        <w:t>adults</w:t>
      </w:r>
      <w:r>
        <w:rPr>
          <w:rFonts w:ascii="Lato" w:hAnsi="Lato"/>
          <w:color w:val="000000"/>
          <w:sz w:val="23"/>
          <w:szCs w:val="23"/>
        </w:rPr>
        <w:t>: 1 tablet once or twice a day</w:t>
      </w:r>
      <w:r>
        <w:rPr>
          <w:rFonts w:ascii="Lato" w:hAnsi="Lato"/>
          <w:color w:val="000000"/>
          <w:sz w:val="23"/>
          <w:szCs w:val="23"/>
        </w:rPr>
        <w:br/>
        <w:t>Children: 1 tablet once a day</w:t>
      </w:r>
      <w:r>
        <w:rPr>
          <w:rFonts w:ascii="Lato" w:hAnsi="Lato"/>
          <w:color w:val="000000"/>
          <w:sz w:val="23"/>
          <w:szCs w:val="23"/>
        </w:rPr>
        <w:br/>
        <w:t>Dissolve FizyCal-D® effervescent tablet in a glass of water and drink immediately. Do not swallow or chew the tablet.</w:t>
      </w:r>
    </w:p>
    <w:p w14:paraId="4301B2BA" w14:textId="77777777" w:rsid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t>Side Effects</w:t>
      </w:r>
    </w:p>
    <w:p w14:paraId="33326E80" w14:textId="77446042" w:rsidR="00897FEB" w:rsidRDefault="00897FEB" w:rsidP="00897FE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- Very rare: Serious Allergic reaction such as swelling of the face, lips, tongues</w:t>
      </w:r>
      <w:r w:rsidR="005441F6">
        <w:rPr>
          <w:rFonts w:ascii="Lato" w:hAnsi="Lato"/>
          <w:color w:val="000000"/>
          <w:sz w:val="23"/>
          <w:szCs w:val="23"/>
        </w:rPr>
        <w:t>,</w:t>
      </w:r>
      <w:r>
        <w:rPr>
          <w:rFonts w:ascii="Lato" w:hAnsi="Lato"/>
          <w:color w:val="000000"/>
          <w:sz w:val="23"/>
          <w:szCs w:val="23"/>
        </w:rPr>
        <w:t xml:space="preserve"> and throat</w:t>
      </w:r>
      <w:r>
        <w:rPr>
          <w:rFonts w:ascii="Lato" w:hAnsi="Lato"/>
          <w:color w:val="000000"/>
          <w:sz w:val="23"/>
          <w:szCs w:val="23"/>
        </w:rPr>
        <w:br/>
        <w:t xml:space="preserve">- Rare: </w:t>
      </w:r>
      <w:r>
        <w:rPr>
          <w:rFonts w:ascii="Lato" w:hAnsi="Lato"/>
          <w:color w:val="000000"/>
          <w:sz w:val="23"/>
          <w:szCs w:val="23"/>
        </w:rPr>
        <w:t>Hypercalcemia</w:t>
      </w:r>
      <w:r>
        <w:rPr>
          <w:rFonts w:ascii="Lato" w:hAnsi="Lato"/>
          <w:color w:val="000000"/>
          <w:sz w:val="23"/>
          <w:szCs w:val="23"/>
        </w:rPr>
        <w:t>, Hypercalciuria</w:t>
      </w:r>
      <w:r>
        <w:rPr>
          <w:rFonts w:ascii="Lato" w:hAnsi="Lato"/>
          <w:color w:val="000000"/>
          <w:sz w:val="23"/>
          <w:szCs w:val="23"/>
        </w:rPr>
        <w:br/>
        <w:t>- Common (less serious): Nausea, Vomiting, Diarrhea, Abdominal pain, constipation, flatulence, bloating, itching, redness/ burning of the skin</w:t>
      </w:r>
    </w:p>
    <w:p w14:paraId="30C5F1AD" w14:textId="77777777" w:rsid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t>Precautions</w:t>
      </w:r>
    </w:p>
    <w:p w14:paraId="34D55722" w14:textId="57DB5CC4" w:rsidR="00897FEB" w:rsidRDefault="00897FEB" w:rsidP="0054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Patients</w:t>
      </w:r>
      <w:r>
        <w:rPr>
          <w:rFonts w:ascii="Lato" w:hAnsi="Lato"/>
          <w:color w:val="000000"/>
          <w:sz w:val="23"/>
          <w:szCs w:val="23"/>
        </w:rPr>
        <w:t xml:space="preserve"> with a history of renal stones urinary calcium excretion should be measured to exclude Hypercalciuria. During long-term administration of FizyCal-</w:t>
      </w:r>
      <w:r>
        <w:rPr>
          <w:rFonts w:ascii="Lato" w:hAnsi="Lato"/>
          <w:color w:val="000000"/>
          <w:sz w:val="23"/>
          <w:szCs w:val="23"/>
        </w:rPr>
        <w:t>M</w:t>
      </w:r>
      <w:r>
        <w:rPr>
          <w:rFonts w:ascii="Lato" w:hAnsi="Lato"/>
          <w:color w:val="000000"/>
          <w:sz w:val="23"/>
          <w:szCs w:val="23"/>
        </w:rPr>
        <w:t xml:space="preserve"> regular blood and urine calcium levels</w:t>
      </w:r>
      <w:r>
        <w:rPr>
          <w:rFonts w:ascii="Lato" w:hAnsi="Lato"/>
          <w:color w:val="000000"/>
          <w:sz w:val="23"/>
          <w:szCs w:val="23"/>
        </w:rPr>
        <w:t>, as well as kidney function,</w:t>
      </w:r>
      <w:r>
        <w:rPr>
          <w:rFonts w:ascii="Lato" w:hAnsi="Lato"/>
          <w:color w:val="000000"/>
          <w:sz w:val="23"/>
          <w:szCs w:val="23"/>
        </w:rPr>
        <w:t xml:space="preserve"> should be monitored regularly. Consultation with </w:t>
      </w:r>
      <w:r>
        <w:rPr>
          <w:rFonts w:ascii="Lato" w:hAnsi="Lato"/>
          <w:color w:val="000000"/>
          <w:sz w:val="23"/>
          <w:szCs w:val="23"/>
        </w:rPr>
        <w:t xml:space="preserve">a </w:t>
      </w:r>
      <w:r>
        <w:rPr>
          <w:rFonts w:ascii="Lato" w:hAnsi="Lato"/>
          <w:color w:val="000000"/>
          <w:sz w:val="23"/>
          <w:szCs w:val="23"/>
        </w:rPr>
        <w:t xml:space="preserve">physician should be required while using other Calcium and Vitamin-D preparation, having </w:t>
      </w:r>
      <w:r>
        <w:rPr>
          <w:rFonts w:ascii="Lato" w:hAnsi="Lato"/>
          <w:color w:val="000000"/>
          <w:sz w:val="23"/>
          <w:szCs w:val="23"/>
        </w:rPr>
        <w:t xml:space="preserve">a </w:t>
      </w:r>
      <w:r>
        <w:rPr>
          <w:rFonts w:ascii="Lato" w:hAnsi="Lato"/>
          <w:color w:val="000000"/>
          <w:sz w:val="23"/>
          <w:szCs w:val="23"/>
        </w:rPr>
        <w:t xml:space="preserve">previous history of kidney </w:t>
      </w:r>
      <w:r>
        <w:rPr>
          <w:rFonts w:ascii="Lato" w:hAnsi="Lato"/>
          <w:color w:val="000000"/>
          <w:sz w:val="23"/>
          <w:szCs w:val="23"/>
        </w:rPr>
        <w:t>disorders</w:t>
      </w:r>
      <w:r>
        <w:rPr>
          <w:rFonts w:ascii="Lato" w:hAnsi="Lato"/>
          <w:color w:val="000000"/>
          <w:sz w:val="23"/>
          <w:szCs w:val="23"/>
        </w:rPr>
        <w:t xml:space="preserve"> and certain lung diseases </w:t>
      </w:r>
      <w:r w:rsidR="005441F6">
        <w:rPr>
          <w:rFonts w:ascii="Lato" w:hAnsi="Lato"/>
          <w:color w:val="000000"/>
          <w:sz w:val="23"/>
          <w:szCs w:val="23"/>
        </w:rPr>
        <w:t>e.g.,</w:t>
      </w:r>
      <w:r>
        <w:rPr>
          <w:rFonts w:ascii="Lato" w:hAnsi="Lato"/>
          <w:color w:val="000000"/>
          <w:sz w:val="23"/>
          <w:szCs w:val="23"/>
        </w:rPr>
        <w:t xml:space="preserve"> Sarcoidosis/ Besnier-Boeck disease.</w:t>
      </w:r>
    </w:p>
    <w:p w14:paraId="777C92A8" w14:textId="77777777" w:rsid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t>Use in Pregnancy &amp; Lactation</w:t>
      </w:r>
    </w:p>
    <w:p w14:paraId="01133909" w14:textId="1E6672C5" w:rsidR="00897FEB" w:rsidRDefault="00897FEB" w:rsidP="0054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FizyCal-</w:t>
      </w:r>
      <w:r w:rsidR="005441F6">
        <w:rPr>
          <w:rFonts w:ascii="Lato" w:hAnsi="Lato"/>
          <w:color w:val="000000"/>
          <w:sz w:val="23"/>
          <w:szCs w:val="23"/>
        </w:rPr>
        <w:t>M</w:t>
      </w:r>
      <w:r>
        <w:rPr>
          <w:rFonts w:ascii="Lato" w:hAnsi="Lato"/>
          <w:color w:val="000000"/>
          <w:sz w:val="23"/>
          <w:szCs w:val="23"/>
        </w:rPr>
        <w:t xml:space="preserve"> effervescent tablets can be used during pregnancy, in case of a calcium and vitamin D deficiency. However, for supplementation starting during the third trimester of pregnancy, the daily intake should not exceed 1500 mg calcium and 1000 IU vitamin D. FizyCal-</w:t>
      </w:r>
      <w:r w:rsidR="005441F6">
        <w:rPr>
          <w:rFonts w:ascii="Lato" w:hAnsi="Lato"/>
          <w:color w:val="000000"/>
          <w:sz w:val="23"/>
          <w:szCs w:val="23"/>
        </w:rPr>
        <w:t>M</w:t>
      </w:r>
      <w:r>
        <w:rPr>
          <w:rFonts w:ascii="Lato" w:hAnsi="Lato"/>
          <w:color w:val="000000"/>
          <w:sz w:val="23"/>
          <w:szCs w:val="23"/>
        </w:rPr>
        <w:t xml:space="preserve"> effervescent tablets can be used during </w:t>
      </w:r>
      <w:r w:rsidR="005441F6">
        <w:rPr>
          <w:rFonts w:ascii="Lato" w:hAnsi="Lato"/>
          <w:color w:val="000000"/>
          <w:sz w:val="23"/>
          <w:szCs w:val="23"/>
        </w:rPr>
        <w:t>breastfeeding</w:t>
      </w:r>
      <w:r>
        <w:rPr>
          <w:rFonts w:ascii="Lato" w:hAnsi="Lato"/>
          <w:color w:val="000000"/>
          <w:sz w:val="23"/>
          <w:szCs w:val="23"/>
        </w:rPr>
        <w:t>.</w:t>
      </w:r>
    </w:p>
    <w:p w14:paraId="597FC770" w14:textId="77777777" w:rsid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lastRenderedPageBreak/>
        <w:t>Drug Interaction</w:t>
      </w:r>
    </w:p>
    <w:p w14:paraId="1613043C" w14:textId="3097D917" w:rsidR="00897FEB" w:rsidRDefault="00897FEB" w:rsidP="0054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FizyCal-</w:t>
      </w:r>
      <w:r w:rsidR="005441F6">
        <w:rPr>
          <w:rFonts w:ascii="Lato" w:hAnsi="Lato"/>
          <w:color w:val="000000"/>
          <w:sz w:val="23"/>
          <w:szCs w:val="23"/>
        </w:rPr>
        <w:t>M</w:t>
      </w:r>
      <w:r>
        <w:rPr>
          <w:rFonts w:ascii="Lato" w:hAnsi="Lato"/>
          <w:color w:val="000000"/>
          <w:sz w:val="23"/>
          <w:szCs w:val="23"/>
        </w:rPr>
        <w:t xml:space="preserve"> can interact with certain medications if taken at the same time. Physician advocacy should be required while using cardiac glycosides, thiazide diuretics</w:t>
      </w:r>
      <w:r w:rsidR="005441F6">
        <w:rPr>
          <w:rFonts w:ascii="Lato" w:hAnsi="Lato"/>
          <w:color w:val="000000"/>
          <w:sz w:val="23"/>
          <w:szCs w:val="23"/>
        </w:rPr>
        <w:t>,</w:t>
      </w:r>
      <w:r>
        <w:rPr>
          <w:rFonts w:ascii="Lato" w:hAnsi="Lato"/>
          <w:color w:val="000000"/>
          <w:sz w:val="23"/>
          <w:szCs w:val="23"/>
        </w:rPr>
        <w:t xml:space="preserve"> or corticosteroids. In </w:t>
      </w:r>
      <w:r w:rsidR="005441F6">
        <w:rPr>
          <w:rFonts w:ascii="Lato" w:hAnsi="Lato"/>
          <w:color w:val="000000"/>
          <w:sz w:val="23"/>
          <w:szCs w:val="23"/>
        </w:rPr>
        <w:t xml:space="preserve">the </w:t>
      </w:r>
      <w:r>
        <w:rPr>
          <w:rFonts w:ascii="Lato" w:hAnsi="Lato"/>
          <w:color w:val="000000"/>
          <w:sz w:val="23"/>
          <w:szCs w:val="23"/>
        </w:rPr>
        <w:t xml:space="preserve">case of oral bisphosphonates and sodium fluoride, the drug should be taken at least 3 </w:t>
      </w:r>
      <w:proofErr w:type="spellStart"/>
      <w:r>
        <w:rPr>
          <w:rFonts w:ascii="Lato" w:hAnsi="Lato"/>
          <w:color w:val="000000"/>
          <w:sz w:val="23"/>
          <w:szCs w:val="23"/>
        </w:rPr>
        <w:t>hrs</w:t>
      </w:r>
      <w:proofErr w:type="spellEnd"/>
      <w:r>
        <w:rPr>
          <w:rFonts w:ascii="Lato" w:hAnsi="Lato"/>
          <w:color w:val="000000"/>
          <w:sz w:val="23"/>
          <w:szCs w:val="23"/>
        </w:rPr>
        <w:t xml:space="preserve"> later of administration of these drugs. FizyCal-D® should be taken 1 to 2 </w:t>
      </w:r>
      <w:proofErr w:type="spellStart"/>
      <w:r>
        <w:rPr>
          <w:rFonts w:ascii="Lato" w:hAnsi="Lato"/>
          <w:color w:val="000000"/>
          <w:sz w:val="23"/>
          <w:szCs w:val="23"/>
        </w:rPr>
        <w:t>hrs</w:t>
      </w:r>
      <w:proofErr w:type="spellEnd"/>
      <w:r>
        <w:rPr>
          <w:rFonts w:ascii="Lato" w:hAnsi="Lato"/>
          <w:color w:val="000000"/>
          <w:sz w:val="23"/>
          <w:szCs w:val="23"/>
        </w:rPr>
        <w:t xml:space="preserve"> before or 4 to 6 </w:t>
      </w:r>
      <w:proofErr w:type="spellStart"/>
      <w:r>
        <w:rPr>
          <w:rFonts w:ascii="Lato" w:hAnsi="Lato"/>
          <w:color w:val="000000"/>
          <w:sz w:val="23"/>
          <w:szCs w:val="23"/>
        </w:rPr>
        <w:t>hrs</w:t>
      </w:r>
      <w:proofErr w:type="spellEnd"/>
      <w:r>
        <w:rPr>
          <w:rFonts w:ascii="Lato" w:hAnsi="Lato"/>
          <w:color w:val="000000"/>
          <w:sz w:val="23"/>
          <w:szCs w:val="23"/>
        </w:rPr>
        <w:t xml:space="preserve"> after taking certain medications </w:t>
      </w:r>
      <w:proofErr w:type="gramStart"/>
      <w:r>
        <w:rPr>
          <w:rFonts w:ascii="Lato" w:hAnsi="Lato"/>
          <w:color w:val="000000"/>
          <w:sz w:val="23"/>
          <w:szCs w:val="23"/>
        </w:rPr>
        <w:t>e.g.</w:t>
      </w:r>
      <w:proofErr w:type="gramEnd"/>
      <w:r>
        <w:rPr>
          <w:rFonts w:ascii="Lato" w:hAnsi="Lato"/>
          <w:color w:val="000000"/>
          <w:sz w:val="23"/>
          <w:szCs w:val="23"/>
        </w:rPr>
        <w:t xml:space="preserve"> Tetracycline, cholestyramine</w:t>
      </w:r>
      <w:r w:rsidR="005441F6">
        <w:rPr>
          <w:rFonts w:ascii="Lato" w:hAnsi="Lato"/>
          <w:color w:val="000000"/>
          <w:sz w:val="23"/>
          <w:szCs w:val="23"/>
        </w:rPr>
        <w:t>,</w:t>
      </w:r>
      <w:r>
        <w:rPr>
          <w:rFonts w:ascii="Lato" w:hAnsi="Lato"/>
          <w:color w:val="000000"/>
          <w:sz w:val="23"/>
          <w:szCs w:val="23"/>
        </w:rPr>
        <w:t xml:space="preserve"> or laxatives.</w:t>
      </w:r>
    </w:p>
    <w:p w14:paraId="729629FE" w14:textId="711801D6" w:rsidR="00897FEB" w:rsidRDefault="005441F6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t>Over Dose</w:t>
      </w:r>
    </w:p>
    <w:p w14:paraId="05D5D7F5" w14:textId="69CCCE6C" w:rsidR="00897FEB" w:rsidRDefault="00897FEB" w:rsidP="0054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 xml:space="preserve">Symptoms of </w:t>
      </w:r>
      <w:r w:rsidR="005441F6">
        <w:rPr>
          <w:rFonts w:ascii="Lato" w:hAnsi="Lato"/>
          <w:color w:val="000000"/>
          <w:sz w:val="23"/>
          <w:szCs w:val="23"/>
        </w:rPr>
        <w:t>overdose</w:t>
      </w:r>
      <w:r>
        <w:rPr>
          <w:rFonts w:ascii="Lato" w:hAnsi="Lato"/>
          <w:color w:val="000000"/>
          <w:sz w:val="23"/>
          <w:szCs w:val="23"/>
        </w:rPr>
        <w:t xml:space="preserve"> may include nausea and vomiting, extreme thirst</w:t>
      </w:r>
      <w:r w:rsidR="005441F6">
        <w:rPr>
          <w:rFonts w:ascii="Lato" w:hAnsi="Lato"/>
          <w:color w:val="000000"/>
          <w:sz w:val="23"/>
          <w:szCs w:val="23"/>
        </w:rPr>
        <w:t>,</w:t>
      </w:r>
      <w:r>
        <w:rPr>
          <w:rFonts w:ascii="Lato" w:hAnsi="Lato"/>
          <w:color w:val="000000"/>
          <w:sz w:val="23"/>
          <w:szCs w:val="23"/>
        </w:rPr>
        <w:t xml:space="preserve"> and constipation. The most serious consequence of acute chronic overdose is </w:t>
      </w:r>
      <w:r w:rsidR="005441F6">
        <w:rPr>
          <w:rFonts w:ascii="Lato" w:hAnsi="Lato"/>
          <w:color w:val="000000"/>
          <w:sz w:val="23"/>
          <w:szCs w:val="23"/>
        </w:rPr>
        <w:t>hypocalcemia</w:t>
      </w:r>
      <w:r>
        <w:rPr>
          <w:rFonts w:ascii="Lato" w:hAnsi="Lato"/>
          <w:color w:val="000000"/>
          <w:sz w:val="23"/>
          <w:szCs w:val="23"/>
        </w:rPr>
        <w:t xml:space="preserve"> due to Vitamin D toxicity.</w:t>
      </w:r>
    </w:p>
    <w:p w14:paraId="77CA8E05" w14:textId="77777777" w:rsid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t>Storage</w:t>
      </w:r>
    </w:p>
    <w:p w14:paraId="30B7429D" w14:textId="4A291268" w:rsidR="00897FEB" w:rsidRDefault="00897FEB" w:rsidP="005441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Store FizyCal-</w:t>
      </w:r>
      <w:r w:rsidR="005441F6">
        <w:rPr>
          <w:rFonts w:ascii="Lato" w:hAnsi="Lato"/>
          <w:color w:val="000000"/>
          <w:sz w:val="23"/>
          <w:szCs w:val="23"/>
        </w:rPr>
        <w:t>M</w:t>
      </w:r>
      <w:r>
        <w:rPr>
          <w:rFonts w:ascii="Lato" w:hAnsi="Lato"/>
          <w:color w:val="000000"/>
          <w:sz w:val="23"/>
          <w:szCs w:val="23"/>
        </w:rPr>
        <w:t xml:space="preserve"> </w:t>
      </w:r>
      <w:r w:rsidR="005441F6">
        <w:rPr>
          <w:rFonts w:ascii="Lato" w:hAnsi="Lato"/>
          <w:color w:val="000000"/>
          <w:sz w:val="23"/>
          <w:szCs w:val="23"/>
        </w:rPr>
        <w:t>in</w:t>
      </w:r>
      <w:r>
        <w:rPr>
          <w:rFonts w:ascii="Lato" w:hAnsi="Lato"/>
          <w:color w:val="000000"/>
          <w:sz w:val="23"/>
          <w:szCs w:val="23"/>
        </w:rPr>
        <w:t xml:space="preserve"> a cool and dry place and protect it from light and moisture. Keep out of reach of children. Keep the container tightly closed.</w:t>
      </w:r>
    </w:p>
    <w:p w14:paraId="018350FD" w14:textId="77777777" w:rsidR="00897FEB" w:rsidRDefault="00897FEB" w:rsidP="00897FEB">
      <w:pPr>
        <w:pStyle w:val="Heading3"/>
        <w:shd w:val="clear" w:color="auto" w:fill="FFFFFF"/>
        <w:spacing w:before="240" w:beforeAutospacing="0" w:after="0" w:afterAutospacing="0"/>
        <w:rPr>
          <w:rFonts w:ascii="inherit" w:hAnsi="inherit"/>
          <w:color w:val="2F61A6"/>
        </w:rPr>
      </w:pPr>
      <w:r>
        <w:rPr>
          <w:rFonts w:ascii="inherit" w:hAnsi="inherit"/>
          <w:color w:val="2F61A6"/>
        </w:rPr>
        <w:t>Commercial Pack</w:t>
      </w:r>
    </w:p>
    <w:p w14:paraId="25C6A61F" w14:textId="6CCFB44A" w:rsidR="00897FEB" w:rsidRDefault="00897FEB" w:rsidP="00897FEB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  <w:sz w:val="23"/>
          <w:szCs w:val="23"/>
        </w:rPr>
      </w:pPr>
      <w:r>
        <w:rPr>
          <w:rFonts w:ascii="Lato" w:hAnsi="Lato"/>
          <w:color w:val="000000"/>
          <w:sz w:val="23"/>
          <w:szCs w:val="23"/>
        </w:rPr>
        <w:t>FizyCal-</w:t>
      </w:r>
      <w:r w:rsidR="005441F6">
        <w:rPr>
          <w:rFonts w:ascii="Lato" w:hAnsi="Lato"/>
          <w:color w:val="000000"/>
          <w:sz w:val="23"/>
          <w:szCs w:val="23"/>
        </w:rPr>
        <w:t>M:</w:t>
      </w:r>
      <w:r>
        <w:rPr>
          <w:rFonts w:ascii="Lato" w:hAnsi="Lato"/>
          <w:color w:val="000000"/>
          <w:sz w:val="23"/>
          <w:szCs w:val="23"/>
        </w:rPr>
        <w:t xml:space="preserve"> Each tube contains 10 effervescent tablets.</w:t>
      </w:r>
    </w:p>
    <w:p w14:paraId="6C563D07" w14:textId="77777777" w:rsidR="00897FEB" w:rsidRPr="00897FEB" w:rsidRDefault="00897FEB" w:rsidP="00897F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3C0DA0A" w14:textId="4879AA6B" w:rsidR="00897FEB" w:rsidRDefault="00897FEB">
      <w:pPr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sectPr w:rsidR="0089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B"/>
    <w:rsid w:val="0034114D"/>
    <w:rsid w:val="005441F6"/>
    <w:rsid w:val="005F3727"/>
    <w:rsid w:val="00897FEB"/>
    <w:rsid w:val="00B53D0E"/>
    <w:rsid w:val="00D66909"/>
    <w:rsid w:val="00E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101E"/>
  <w15:chartTrackingRefBased/>
  <w15:docId w15:val="{00EA9525-5B3E-41CA-ACA2-9E7D7D1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7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7F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hmahmud</dc:creator>
  <cp:keywords/>
  <dc:description/>
  <cp:lastModifiedBy>hmahmud</cp:lastModifiedBy>
  <cp:revision>1</cp:revision>
  <dcterms:created xsi:type="dcterms:W3CDTF">2022-03-14T04:22:00Z</dcterms:created>
  <dcterms:modified xsi:type="dcterms:W3CDTF">2022-03-14T06:38:00Z</dcterms:modified>
</cp:coreProperties>
</file>